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CE5" w:rsidRDefault="00D11CE5" w:rsidP="00FA49AB">
      <w:pPr>
        <w:widowControl w:val="0"/>
        <w:tabs>
          <w:tab w:val="left" w:pos="405"/>
        </w:tabs>
        <w:ind w:left="122" w:right="97"/>
        <w:contextualSpacing/>
        <w:jc w:val="center"/>
        <w:rPr>
          <w:rFonts w:eastAsia="Arial"/>
          <w:b/>
          <w:lang w:val="ru-RU" w:eastAsia="ru-RU"/>
        </w:rPr>
      </w:pPr>
      <w:r>
        <w:rPr>
          <w:rFonts w:eastAsia="Arial"/>
          <w:b/>
          <w:lang w:val="ru-RU" w:eastAsia="ru-RU"/>
        </w:rPr>
        <w:t xml:space="preserve">                                                                         </w:t>
      </w:r>
      <w:proofErr w:type="spellStart"/>
      <w:r>
        <w:rPr>
          <w:rFonts w:eastAsia="Arial"/>
          <w:b/>
          <w:lang w:val="ru-RU" w:eastAsia="ru-RU"/>
        </w:rPr>
        <w:t>Додаток</w:t>
      </w:r>
      <w:proofErr w:type="spellEnd"/>
      <w:r>
        <w:rPr>
          <w:rFonts w:eastAsia="Arial"/>
          <w:b/>
          <w:lang w:val="ru-RU" w:eastAsia="ru-RU"/>
        </w:rPr>
        <w:t xml:space="preserve"> </w:t>
      </w:r>
      <w:r w:rsidR="0055750D">
        <w:rPr>
          <w:rFonts w:eastAsia="Arial"/>
          <w:b/>
          <w:lang w:val="ru-RU" w:eastAsia="ru-RU"/>
        </w:rPr>
        <w:t>7</w:t>
      </w:r>
      <w:r>
        <w:rPr>
          <w:rFonts w:eastAsia="Arial"/>
          <w:b/>
          <w:lang w:val="ru-RU" w:eastAsia="ru-RU"/>
        </w:rPr>
        <w:t xml:space="preserve"> </w:t>
      </w:r>
    </w:p>
    <w:p w:rsidR="00D11CE5" w:rsidRDefault="00D11CE5" w:rsidP="00FA49AB">
      <w:pPr>
        <w:widowControl w:val="0"/>
        <w:tabs>
          <w:tab w:val="left" w:pos="405"/>
        </w:tabs>
        <w:ind w:left="122" w:right="97"/>
        <w:contextualSpacing/>
        <w:jc w:val="center"/>
        <w:rPr>
          <w:rFonts w:eastAsia="Arial"/>
          <w:b/>
          <w:lang w:val="ru-RU" w:eastAsia="ru-RU"/>
        </w:rPr>
      </w:pPr>
      <w:r>
        <w:rPr>
          <w:rFonts w:eastAsia="Arial"/>
          <w:b/>
          <w:lang w:val="ru-RU" w:eastAsia="ru-RU"/>
        </w:rPr>
        <w:t xml:space="preserve">                                                                                                        до </w:t>
      </w:r>
      <w:proofErr w:type="spellStart"/>
      <w:r>
        <w:rPr>
          <w:rFonts w:eastAsia="Arial"/>
          <w:b/>
          <w:lang w:val="ru-RU" w:eastAsia="ru-RU"/>
        </w:rPr>
        <w:t>тендерної</w:t>
      </w:r>
      <w:proofErr w:type="spellEnd"/>
      <w:r>
        <w:rPr>
          <w:rFonts w:eastAsia="Arial"/>
          <w:b/>
          <w:lang w:val="ru-RU" w:eastAsia="ru-RU"/>
        </w:rPr>
        <w:t xml:space="preserve"> </w:t>
      </w:r>
      <w:proofErr w:type="spellStart"/>
      <w:r>
        <w:rPr>
          <w:rFonts w:eastAsia="Arial"/>
          <w:b/>
          <w:lang w:val="ru-RU" w:eastAsia="ru-RU"/>
        </w:rPr>
        <w:t>документації</w:t>
      </w:r>
      <w:proofErr w:type="spellEnd"/>
    </w:p>
    <w:p w:rsidR="00D11CE5" w:rsidRDefault="00D11CE5" w:rsidP="00FA49AB">
      <w:pPr>
        <w:widowControl w:val="0"/>
        <w:tabs>
          <w:tab w:val="left" w:pos="405"/>
        </w:tabs>
        <w:ind w:left="122" w:right="97"/>
        <w:contextualSpacing/>
        <w:jc w:val="center"/>
        <w:rPr>
          <w:rFonts w:eastAsia="Arial"/>
          <w:b/>
          <w:lang w:val="ru-RU" w:eastAsia="ru-RU"/>
        </w:rPr>
      </w:pPr>
    </w:p>
    <w:p w:rsidR="00D11CE5" w:rsidRDefault="00D11CE5" w:rsidP="00FA49AB">
      <w:pPr>
        <w:widowControl w:val="0"/>
        <w:tabs>
          <w:tab w:val="left" w:pos="405"/>
        </w:tabs>
        <w:ind w:left="122" w:right="97"/>
        <w:contextualSpacing/>
        <w:jc w:val="center"/>
        <w:rPr>
          <w:rFonts w:eastAsia="Arial"/>
          <w:b/>
          <w:lang w:val="ru-RU" w:eastAsia="ru-RU"/>
        </w:rPr>
      </w:pPr>
    </w:p>
    <w:p w:rsidR="00FA49AB" w:rsidRPr="00FA49AB" w:rsidRDefault="00FA49AB" w:rsidP="00FA49AB">
      <w:pPr>
        <w:widowControl w:val="0"/>
        <w:tabs>
          <w:tab w:val="left" w:pos="405"/>
        </w:tabs>
        <w:ind w:left="122" w:right="97"/>
        <w:contextualSpacing/>
        <w:jc w:val="center"/>
        <w:rPr>
          <w:rFonts w:eastAsia="Arial"/>
          <w:b/>
          <w:lang w:val="ru-RU" w:eastAsia="ru-RU"/>
        </w:rPr>
      </w:pPr>
      <w:proofErr w:type="spellStart"/>
      <w:r w:rsidRPr="00FA49AB">
        <w:rPr>
          <w:rFonts w:eastAsia="Arial"/>
          <w:b/>
          <w:lang w:val="ru-RU" w:eastAsia="ru-RU"/>
        </w:rPr>
        <w:t>Перелі</w:t>
      </w:r>
      <w:proofErr w:type="gramStart"/>
      <w:r w:rsidRPr="00FA49AB">
        <w:rPr>
          <w:rFonts w:eastAsia="Arial"/>
          <w:b/>
          <w:lang w:val="ru-RU" w:eastAsia="ru-RU"/>
        </w:rPr>
        <w:t>к</w:t>
      </w:r>
      <w:proofErr w:type="spellEnd"/>
      <w:proofErr w:type="gramEnd"/>
      <w:r w:rsidRPr="00FA49AB">
        <w:rPr>
          <w:rFonts w:eastAsia="Arial"/>
          <w:b/>
          <w:lang w:val="ru-RU" w:eastAsia="ru-RU"/>
        </w:rPr>
        <w:t xml:space="preserve"> </w:t>
      </w:r>
      <w:proofErr w:type="spellStart"/>
      <w:r w:rsidRPr="00FA49AB">
        <w:rPr>
          <w:rFonts w:eastAsia="Arial"/>
          <w:b/>
          <w:lang w:val="ru-RU" w:eastAsia="ru-RU"/>
        </w:rPr>
        <w:t>документів</w:t>
      </w:r>
      <w:proofErr w:type="spellEnd"/>
      <w:r w:rsidRPr="00FA49AB">
        <w:rPr>
          <w:rFonts w:eastAsia="Arial"/>
          <w:b/>
          <w:lang w:val="ru-RU" w:eastAsia="ru-RU"/>
        </w:rPr>
        <w:t xml:space="preserve">, </w:t>
      </w:r>
      <w:proofErr w:type="spellStart"/>
      <w:r w:rsidRPr="00FA49AB">
        <w:rPr>
          <w:rFonts w:eastAsia="Arial"/>
          <w:b/>
          <w:lang w:val="ru-RU" w:eastAsia="ru-RU"/>
        </w:rPr>
        <w:t>які</w:t>
      </w:r>
      <w:proofErr w:type="spellEnd"/>
      <w:r w:rsidRPr="00FA49AB">
        <w:rPr>
          <w:rFonts w:eastAsia="Arial"/>
          <w:b/>
          <w:lang w:val="ru-RU" w:eastAsia="ru-RU"/>
        </w:rPr>
        <w:t xml:space="preserve"> </w:t>
      </w:r>
      <w:proofErr w:type="spellStart"/>
      <w:r w:rsidRPr="00FA49AB">
        <w:rPr>
          <w:rFonts w:eastAsia="Arial"/>
          <w:b/>
          <w:lang w:val="ru-RU" w:eastAsia="ru-RU"/>
        </w:rPr>
        <w:t>переможець</w:t>
      </w:r>
      <w:proofErr w:type="spellEnd"/>
      <w:r w:rsidRPr="00FA49AB">
        <w:rPr>
          <w:rFonts w:eastAsia="Arial"/>
          <w:b/>
          <w:lang w:val="ru-RU" w:eastAsia="ru-RU"/>
        </w:rPr>
        <w:t xml:space="preserve"> </w:t>
      </w:r>
      <w:proofErr w:type="spellStart"/>
      <w:r w:rsidRPr="00FA49AB">
        <w:rPr>
          <w:rFonts w:eastAsia="Arial"/>
          <w:b/>
          <w:lang w:val="ru-RU" w:eastAsia="ru-RU"/>
        </w:rPr>
        <w:t>надає</w:t>
      </w:r>
      <w:proofErr w:type="spellEnd"/>
      <w:r w:rsidRPr="00FA49AB">
        <w:rPr>
          <w:rFonts w:eastAsia="Arial"/>
          <w:b/>
          <w:lang w:val="ru-RU" w:eastAsia="ru-RU"/>
        </w:rPr>
        <w:t xml:space="preserve"> </w:t>
      </w:r>
    </w:p>
    <w:p w:rsidR="00FA49AB" w:rsidRPr="00FA49AB" w:rsidRDefault="00FA49AB" w:rsidP="00FA49AB">
      <w:pPr>
        <w:widowControl w:val="0"/>
        <w:tabs>
          <w:tab w:val="left" w:pos="405"/>
        </w:tabs>
        <w:ind w:left="122" w:right="97"/>
        <w:contextualSpacing/>
        <w:jc w:val="center"/>
        <w:rPr>
          <w:rFonts w:eastAsia="Arial"/>
          <w:b/>
          <w:lang w:val="ru-RU" w:eastAsia="ru-RU"/>
        </w:rPr>
      </w:pPr>
      <w:r w:rsidRPr="00FA49AB">
        <w:rPr>
          <w:rFonts w:eastAsia="Arial"/>
          <w:b/>
          <w:lang w:val="ru-RU" w:eastAsia="ru-RU"/>
        </w:rPr>
        <w:t xml:space="preserve">шляхом </w:t>
      </w:r>
      <w:proofErr w:type="spellStart"/>
      <w:r w:rsidRPr="00FA49AB">
        <w:rPr>
          <w:rFonts w:eastAsia="Arial"/>
          <w:b/>
          <w:lang w:val="ru-RU" w:eastAsia="ru-RU"/>
        </w:rPr>
        <w:t>оприлюднення</w:t>
      </w:r>
      <w:proofErr w:type="spellEnd"/>
      <w:r w:rsidRPr="00FA49AB">
        <w:rPr>
          <w:rFonts w:eastAsia="Arial"/>
          <w:b/>
          <w:lang w:val="ru-RU" w:eastAsia="ru-RU"/>
        </w:rPr>
        <w:t xml:space="preserve"> </w:t>
      </w:r>
      <w:proofErr w:type="spellStart"/>
      <w:r w:rsidRPr="00FA49AB">
        <w:rPr>
          <w:rFonts w:eastAsia="Arial"/>
          <w:b/>
          <w:lang w:val="ru-RU" w:eastAsia="ru-RU"/>
        </w:rPr>
        <w:t>ї</w:t>
      </w:r>
      <w:proofErr w:type="gramStart"/>
      <w:r w:rsidRPr="00FA49AB">
        <w:rPr>
          <w:rFonts w:eastAsia="Arial"/>
          <w:b/>
          <w:lang w:val="ru-RU" w:eastAsia="ru-RU"/>
        </w:rPr>
        <w:t>х</w:t>
      </w:r>
      <w:proofErr w:type="spellEnd"/>
      <w:proofErr w:type="gramEnd"/>
      <w:r w:rsidRPr="00FA49AB">
        <w:rPr>
          <w:rFonts w:eastAsia="Arial"/>
          <w:b/>
          <w:lang w:val="ru-RU" w:eastAsia="ru-RU"/>
        </w:rPr>
        <w:t xml:space="preserve"> в </w:t>
      </w:r>
      <w:proofErr w:type="spellStart"/>
      <w:r w:rsidRPr="00FA49AB">
        <w:rPr>
          <w:rFonts w:eastAsia="Arial"/>
          <w:b/>
          <w:lang w:val="ru-RU" w:eastAsia="ru-RU"/>
        </w:rPr>
        <w:t>електронній</w:t>
      </w:r>
      <w:proofErr w:type="spellEnd"/>
      <w:r w:rsidRPr="00FA49AB">
        <w:rPr>
          <w:rFonts w:eastAsia="Arial"/>
          <w:b/>
          <w:lang w:val="ru-RU" w:eastAsia="ru-RU"/>
        </w:rPr>
        <w:t xml:space="preserve"> </w:t>
      </w:r>
      <w:proofErr w:type="spellStart"/>
      <w:r w:rsidRPr="00FA49AB">
        <w:rPr>
          <w:rFonts w:eastAsia="Arial"/>
          <w:b/>
          <w:lang w:val="ru-RU" w:eastAsia="ru-RU"/>
        </w:rPr>
        <w:t>системі</w:t>
      </w:r>
      <w:proofErr w:type="spellEnd"/>
      <w:r w:rsidRPr="00FA49AB">
        <w:rPr>
          <w:rFonts w:eastAsia="Arial"/>
          <w:b/>
          <w:lang w:val="ru-RU" w:eastAsia="ru-RU"/>
        </w:rPr>
        <w:t xml:space="preserve"> </w:t>
      </w:r>
      <w:proofErr w:type="spellStart"/>
      <w:r w:rsidRPr="00FA49AB">
        <w:rPr>
          <w:rFonts w:eastAsia="Arial"/>
          <w:b/>
          <w:lang w:val="ru-RU" w:eastAsia="ru-RU"/>
        </w:rPr>
        <w:t>закупівель</w:t>
      </w:r>
      <w:proofErr w:type="spellEnd"/>
    </w:p>
    <w:p w:rsidR="00FA49AB" w:rsidRPr="00FA49AB" w:rsidRDefault="00FA49AB" w:rsidP="00FA49AB">
      <w:pPr>
        <w:widowControl w:val="0"/>
        <w:tabs>
          <w:tab w:val="left" w:pos="405"/>
        </w:tabs>
        <w:ind w:left="122" w:right="97"/>
        <w:contextualSpacing/>
        <w:jc w:val="center"/>
        <w:rPr>
          <w:rFonts w:eastAsia="Arial"/>
          <w:lang w:eastAsia="ru-RU"/>
        </w:rPr>
      </w:pPr>
    </w:p>
    <w:tbl>
      <w:tblPr>
        <w:tblW w:w="0" w:type="auto"/>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0A0"/>
      </w:tblPr>
      <w:tblGrid>
        <w:gridCol w:w="3868"/>
        <w:gridCol w:w="5503"/>
      </w:tblGrid>
      <w:tr w:rsidR="00FA49AB" w:rsidRPr="00FA49AB" w:rsidTr="004F10D1">
        <w:trPr>
          <w:trHeight w:val="2122"/>
          <w:jc w:val="center"/>
        </w:trPr>
        <w:tc>
          <w:tcPr>
            <w:tcW w:w="3868" w:type="dxa"/>
            <w:tcBorders>
              <w:top w:val="single" w:sz="4" w:space="0" w:color="auto"/>
              <w:left w:val="single" w:sz="6" w:space="0" w:color="000000"/>
              <w:bottom w:val="single" w:sz="4" w:space="0" w:color="auto"/>
              <w:right w:val="single" w:sz="6" w:space="0" w:color="000000"/>
            </w:tcBorders>
            <w:hideMark/>
          </w:tcPr>
          <w:p w:rsidR="00FA49AB" w:rsidRPr="00FA49AB" w:rsidRDefault="00FA49AB" w:rsidP="004F10D1">
            <w:pPr>
              <w:ind w:left="91" w:right="162"/>
            </w:pPr>
            <w:r w:rsidRPr="00FA49AB">
              <w:t>Витяг з інформаційно-аналітичної системи «Облік відомостей про притягнення особи до кримінальної відповідальності та наявності судимості», виданий службовій</w:t>
            </w:r>
          </w:p>
          <w:p w:rsidR="00FA49AB" w:rsidRPr="00FA49AB" w:rsidRDefault="00FA49AB" w:rsidP="004F10D1">
            <w:pPr>
              <w:pStyle w:val="a4"/>
              <w:spacing w:before="0"/>
              <w:ind w:left="91" w:right="162"/>
              <w:rPr>
                <w:rFonts w:ascii="Times New Roman" w:hAnsi="Times New Roman"/>
                <w:spacing w:val="-6"/>
              </w:rPr>
            </w:pPr>
            <w:r w:rsidRPr="00FA49AB">
              <w:rPr>
                <w:rFonts w:ascii="Times New Roman" w:eastAsia="Times New Roman" w:hAnsi="Times New Roman"/>
              </w:rPr>
              <w:t xml:space="preserve">(посадовій) особі Переможця або фізичній </w:t>
            </w:r>
            <w:r w:rsidRPr="00FA49AB">
              <w:rPr>
                <w:rFonts w:ascii="Times New Roman" w:hAnsi="Times New Roman"/>
              </w:rPr>
              <w:t>Особі Переможцю, яка підписала тендерну пропозицію, не раніше ніж за 30</w:t>
            </w:r>
            <w:r w:rsidRPr="00FA49AB">
              <w:t xml:space="preserve"> </w:t>
            </w:r>
            <w:r w:rsidRPr="00FA49AB">
              <w:rPr>
                <w:rFonts w:ascii="Times New Roman" w:hAnsi="Times New Roman"/>
              </w:rPr>
              <w:t>календарних днів до дати подання</w:t>
            </w:r>
          </w:p>
        </w:tc>
        <w:tc>
          <w:tcPr>
            <w:tcW w:w="5503" w:type="dxa"/>
            <w:tcBorders>
              <w:top w:val="single" w:sz="4" w:space="0" w:color="auto"/>
              <w:left w:val="single" w:sz="6" w:space="0" w:color="000000"/>
              <w:bottom w:val="single" w:sz="4" w:space="0" w:color="auto"/>
              <w:right w:val="single" w:sz="6" w:space="0" w:color="000000"/>
            </w:tcBorders>
            <w:vAlign w:val="center"/>
            <w:hideMark/>
          </w:tcPr>
          <w:p w:rsidR="00FA49AB" w:rsidRPr="00FA49AB" w:rsidRDefault="00FA49AB" w:rsidP="004F10D1">
            <w:pPr>
              <w:ind w:left="142" w:right="97"/>
              <w:contextualSpacing/>
              <w:rPr>
                <w:spacing w:val="-6"/>
              </w:rPr>
            </w:pPr>
            <w:r w:rsidRPr="00FA49AB">
              <w:rPr>
                <w:spacing w:val="-6"/>
              </w:rPr>
              <w:t xml:space="preserve">Витяг з інформаційно-аналітичної системи «Облік відомостей про притягнення особи до кримінальної відповідальності та наявності судимості», виданий службовій (посадовій) особі Переможця, яка підписала тендерну пропозицію, (скорочений або повний) у паперовій або електронній формі, що сформований програмним забезпеченням (за допомогою електронного сервісу </w:t>
            </w:r>
            <w:proofErr w:type="spellStart"/>
            <w:r w:rsidRPr="00FA49AB">
              <w:rPr>
                <w:spacing w:val="-6"/>
              </w:rPr>
              <w:t>vytiah.mvs.gov.ua</w:t>
            </w:r>
            <w:proofErr w:type="spellEnd"/>
            <w:r w:rsidRPr="00FA49AB">
              <w:rPr>
                <w:spacing w:val="-6"/>
              </w:rPr>
              <w:t xml:space="preserve"> або засобами Порталу Дія).</w:t>
            </w:r>
          </w:p>
        </w:tc>
      </w:tr>
      <w:tr w:rsidR="00FA49AB" w:rsidRPr="00FA49AB" w:rsidTr="004F10D1">
        <w:trPr>
          <w:trHeight w:val="20"/>
          <w:jc w:val="center"/>
        </w:trPr>
        <w:tc>
          <w:tcPr>
            <w:tcW w:w="3868" w:type="dxa"/>
            <w:tcBorders>
              <w:top w:val="single" w:sz="4" w:space="0" w:color="auto"/>
              <w:left w:val="single" w:sz="6" w:space="0" w:color="000000"/>
              <w:bottom w:val="single" w:sz="4" w:space="0" w:color="auto"/>
              <w:right w:val="single" w:sz="6" w:space="0" w:color="000000"/>
            </w:tcBorders>
          </w:tcPr>
          <w:p w:rsidR="00FA49AB" w:rsidRPr="00FA49AB" w:rsidRDefault="00FA49AB" w:rsidP="004F10D1">
            <w:pPr>
              <w:ind w:left="91" w:right="162"/>
              <w:rPr>
                <w:spacing w:val="-6"/>
              </w:rPr>
            </w:pPr>
            <w:r w:rsidRPr="00FA49AB">
              <w:rPr>
                <w:spacing w:val="-6"/>
              </w:rPr>
              <w:t>Довідка про відсутність в учасника процедури закупівлі заборгованості зі сплати податків чи зборів (обов’язкових платежів), передбачених законодавством України, видана відповідним підрозділом Державної фіскальної служби. Довідка має бути дійсною на дату її надання учасником</w:t>
            </w:r>
          </w:p>
          <w:p w:rsidR="00FA49AB" w:rsidRPr="00FA49AB" w:rsidRDefault="00FA49AB" w:rsidP="004F10D1">
            <w:pPr>
              <w:ind w:left="91" w:firstLine="193"/>
              <w:rPr>
                <w:spacing w:val="-6"/>
              </w:rPr>
            </w:pPr>
          </w:p>
        </w:tc>
        <w:tc>
          <w:tcPr>
            <w:tcW w:w="5503" w:type="dxa"/>
            <w:tcBorders>
              <w:top w:val="single" w:sz="4" w:space="0" w:color="auto"/>
              <w:left w:val="single" w:sz="6" w:space="0" w:color="000000"/>
              <w:bottom w:val="single" w:sz="4" w:space="0" w:color="auto"/>
              <w:right w:val="single" w:sz="6" w:space="0" w:color="000000"/>
            </w:tcBorders>
            <w:vAlign w:val="center"/>
            <w:hideMark/>
          </w:tcPr>
          <w:p w:rsidR="00FA49AB" w:rsidRPr="00FA49AB" w:rsidRDefault="00FA49AB" w:rsidP="004F10D1">
            <w:pPr>
              <w:ind w:left="122" w:right="78"/>
              <w:rPr>
                <w:color w:val="000000"/>
                <w:shd w:val="clear" w:color="auto" w:fill="FFFFFF"/>
              </w:rPr>
            </w:pPr>
            <w:r w:rsidRPr="00FA49AB">
              <w:rPr>
                <w:spacing w:val="-6"/>
              </w:rPr>
              <w:t xml:space="preserve">Довідка надається у вигляді </w:t>
            </w:r>
            <w:proofErr w:type="spellStart"/>
            <w:r w:rsidRPr="00FA49AB">
              <w:rPr>
                <w:spacing w:val="-6"/>
              </w:rPr>
              <w:t>сканкопії</w:t>
            </w:r>
            <w:proofErr w:type="spellEnd"/>
            <w:r w:rsidRPr="00FA49AB">
              <w:rPr>
                <w:spacing w:val="-6"/>
              </w:rPr>
              <w:t xml:space="preserve"> паперової довідки або </w:t>
            </w:r>
            <w:proofErr w:type="spellStart"/>
            <w:r w:rsidRPr="00FA49AB">
              <w:rPr>
                <w:spacing w:val="-6"/>
              </w:rPr>
              <w:t>сканкопії</w:t>
            </w:r>
            <w:proofErr w:type="spellEnd"/>
            <w:r w:rsidRPr="00FA49AB">
              <w:rPr>
                <w:spacing w:val="-6"/>
              </w:rPr>
              <w:t xml:space="preserve"> нотаріально завіреної довідки або у вигляді електронного документа із накладеним </w:t>
            </w:r>
            <w:proofErr w:type="spellStart"/>
            <w:r w:rsidRPr="00FA49AB">
              <w:rPr>
                <w:spacing w:val="-6"/>
              </w:rPr>
              <w:t>ЕП</w:t>
            </w:r>
            <w:proofErr w:type="spellEnd"/>
            <w:r w:rsidRPr="00FA49AB">
              <w:rPr>
                <w:spacing w:val="-6"/>
              </w:rPr>
              <w:t xml:space="preserve"> відповідно до Закону України «Про електронні документи та електронний документообіг» та Закону України «Про електронні довірчі послуги» особи, яка уповноважена на підписання такої довідки. Якщо в учасника процедури закупівлі є заборгованість зі сплати податків чи зборів (обов’язкових платежів), учасник процедури закупівлі одночасно з наданням довідки про наявність такої </w:t>
            </w:r>
            <w:r w:rsidRPr="00FA49AB">
              <w:rPr>
                <w:color w:val="000000"/>
                <w:shd w:val="clear" w:color="auto" w:fill="FFFFFF"/>
              </w:rPr>
              <w:t>заборгованості надає документальне підтвердження розстрочення і відстрочення заборгованості у порядку та на умовах, визначених законодавством країни реєстрації Учасника (надається підтвердження прийняття відповідного рішення органу доходів і зборів та укладення договору про розстрочення (відстрочення) відповідно до Наказу Міністерства доходів і зборів України від 10.10.2013 №574). Не надання такого документального підтвердження розстрочення і відстрочення заборгованості свідчить про наявність підстав для відмови учаснику в участі у процедурі закупівлі.</w:t>
            </w:r>
          </w:p>
        </w:tc>
      </w:tr>
      <w:tr w:rsidR="00FA49AB" w:rsidRPr="00FA49AB" w:rsidTr="004F10D1">
        <w:trPr>
          <w:trHeight w:val="20"/>
          <w:jc w:val="center"/>
        </w:trPr>
        <w:tc>
          <w:tcPr>
            <w:tcW w:w="3868" w:type="dxa"/>
            <w:tcBorders>
              <w:top w:val="single" w:sz="4" w:space="0" w:color="auto"/>
              <w:left w:val="single" w:sz="6" w:space="0" w:color="000000"/>
              <w:bottom w:val="single" w:sz="4" w:space="0" w:color="auto"/>
              <w:right w:val="single" w:sz="6" w:space="0" w:color="000000"/>
            </w:tcBorders>
          </w:tcPr>
          <w:p w:rsidR="00FA49AB" w:rsidRPr="00FA49AB" w:rsidRDefault="00FA49AB" w:rsidP="004F10D1">
            <w:pPr>
              <w:ind w:left="91" w:right="162"/>
              <w:rPr>
                <w:spacing w:val="-6"/>
              </w:rPr>
            </w:pPr>
            <w:r w:rsidRPr="00FA49AB">
              <w:rPr>
                <w:spacing w:val="-6"/>
              </w:rPr>
              <w:t>Тендерна пропозиція (цінова) за результатами аукціону за</w:t>
            </w:r>
          </w:p>
          <w:p w:rsidR="00FA49AB" w:rsidRPr="00FA49AB" w:rsidRDefault="00FA49AB" w:rsidP="004F10D1">
            <w:pPr>
              <w:ind w:left="91" w:right="162"/>
              <w:rPr>
                <w:spacing w:val="-6"/>
              </w:rPr>
            </w:pPr>
            <w:r w:rsidRPr="00FA49AB">
              <w:rPr>
                <w:spacing w:val="-6"/>
              </w:rPr>
              <w:t>формою Додатку 1 «Тендерна</w:t>
            </w:r>
          </w:p>
          <w:p w:rsidR="00FA49AB" w:rsidRPr="00FA49AB" w:rsidRDefault="00FA49AB" w:rsidP="004F10D1">
            <w:pPr>
              <w:ind w:left="91" w:right="162"/>
              <w:rPr>
                <w:spacing w:val="-6"/>
              </w:rPr>
            </w:pPr>
            <w:r w:rsidRPr="00FA49AB">
              <w:rPr>
                <w:spacing w:val="-6"/>
              </w:rPr>
              <w:t>пропозиція (цінова)» до цієї</w:t>
            </w:r>
          </w:p>
          <w:p w:rsidR="00FA49AB" w:rsidRPr="00FA49AB" w:rsidRDefault="00FA49AB" w:rsidP="004F10D1">
            <w:pPr>
              <w:ind w:left="91" w:right="162"/>
              <w:rPr>
                <w:spacing w:val="-6"/>
              </w:rPr>
            </w:pPr>
            <w:r w:rsidRPr="00FA49AB">
              <w:rPr>
                <w:spacing w:val="-6"/>
              </w:rPr>
              <w:t>тендерної документації</w:t>
            </w:r>
          </w:p>
          <w:p w:rsidR="00FA49AB" w:rsidRPr="00FA49AB" w:rsidRDefault="00FA49AB" w:rsidP="004F10D1">
            <w:pPr>
              <w:ind w:left="91" w:right="162"/>
              <w:rPr>
                <w:spacing w:val="-6"/>
              </w:rPr>
            </w:pPr>
          </w:p>
        </w:tc>
        <w:tc>
          <w:tcPr>
            <w:tcW w:w="5503" w:type="dxa"/>
            <w:tcBorders>
              <w:top w:val="single" w:sz="4" w:space="0" w:color="auto"/>
              <w:left w:val="single" w:sz="6" w:space="0" w:color="000000"/>
              <w:bottom w:val="single" w:sz="4" w:space="0" w:color="auto"/>
              <w:right w:val="single" w:sz="6" w:space="0" w:color="000000"/>
            </w:tcBorders>
            <w:vAlign w:val="center"/>
            <w:hideMark/>
          </w:tcPr>
          <w:p w:rsidR="00FA49AB" w:rsidRPr="00FA49AB" w:rsidRDefault="00FA49AB" w:rsidP="004F10D1">
            <w:pPr>
              <w:ind w:left="122" w:right="78"/>
              <w:rPr>
                <w:spacing w:val="-6"/>
              </w:rPr>
            </w:pPr>
            <w:r w:rsidRPr="00FA49AB">
              <w:rPr>
                <w:spacing w:val="-6"/>
              </w:rPr>
              <w:t>Тендерна пропозиція (цінова) за результатами аукціону за формою Додатку 1 «Тендерна пропозиція (цінова)» до цієї тендерної документації надається переможцем протягом 5 робочих днів з дня оприлюднення рішення Замовника про визначення переможця,</w:t>
            </w:r>
            <w:r w:rsidRPr="00FA49AB">
              <w:rPr>
                <w:bCs/>
                <w:spacing w:val="-6"/>
              </w:rPr>
              <w:t xml:space="preserve"> в разі якщо за результатами аукціону учасник змінював ціну</w:t>
            </w:r>
            <w:r w:rsidRPr="00FA49AB">
              <w:rPr>
                <w:spacing w:val="-6"/>
              </w:rPr>
              <w:t>.</w:t>
            </w:r>
          </w:p>
        </w:tc>
      </w:tr>
    </w:tbl>
    <w:p w:rsidR="00FA49AB" w:rsidRPr="00FA49AB" w:rsidRDefault="00FA49AB" w:rsidP="00FA49AB">
      <w:pPr>
        <w:ind w:left="284" w:right="97" w:firstLine="796"/>
        <w:contextualSpacing/>
        <w:rPr>
          <w:color w:val="000000"/>
          <w:lang w:eastAsia="ru-RU"/>
        </w:rPr>
      </w:pPr>
    </w:p>
    <w:p w:rsidR="00B41689" w:rsidRPr="00FA49AB" w:rsidRDefault="0055750D"/>
    <w:sectPr w:rsidR="00B41689" w:rsidRPr="00FA49AB" w:rsidSect="00D35FB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CE5" w:rsidRDefault="00D11CE5" w:rsidP="00D11CE5">
      <w:r>
        <w:separator/>
      </w:r>
    </w:p>
  </w:endnote>
  <w:endnote w:type="continuationSeparator" w:id="1">
    <w:p w:rsidR="00D11CE5" w:rsidRDefault="00D11CE5" w:rsidP="00D11C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CE5" w:rsidRDefault="00D11CE5" w:rsidP="00D11CE5">
      <w:r>
        <w:separator/>
      </w:r>
    </w:p>
  </w:footnote>
  <w:footnote w:type="continuationSeparator" w:id="1">
    <w:p w:rsidR="00D11CE5" w:rsidRDefault="00D11CE5" w:rsidP="00D11C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FA49AB"/>
    <w:rsid w:val="000279F4"/>
    <w:rsid w:val="0055750D"/>
    <w:rsid w:val="006C266F"/>
    <w:rsid w:val="00745B56"/>
    <w:rsid w:val="00AA6273"/>
    <w:rsid w:val="00C9297E"/>
    <w:rsid w:val="00D11CE5"/>
    <w:rsid w:val="00FA4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9AB"/>
    <w:pPr>
      <w:spacing w:after="0" w:line="240" w:lineRule="auto"/>
      <w:jc w:val="both"/>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4"/>
    <w:locked/>
    <w:rsid w:val="00FA49AB"/>
    <w:rPr>
      <w:sz w:val="24"/>
      <w:szCs w:val="24"/>
      <w:lang w:val="uk-UA" w:eastAsia="uk-UA"/>
    </w:rPr>
  </w:style>
  <w:style w:type="paragraph" w:styleId="a4">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3"/>
    <w:unhideWhenUsed/>
    <w:qFormat/>
    <w:rsid w:val="00FA49AB"/>
    <w:pPr>
      <w:widowControl w:val="0"/>
      <w:suppressAutoHyphens/>
      <w:spacing w:before="150"/>
    </w:pPr>
    <w:rPr>
      <w:rFonts w:asciiTheme="minorHAnsi" w:eastAsiaTheme="minorHAnsi" w:hAnsiTheme="minorHAnsi" w:cstheme="minorBidi"/>
    </w:rPr>
  </w:style>
  <w:style w:type="paragraph" w:styleId="a5">
    <w:name w:val="header"/>
    <w:basedOn w:val="a"/>
    <w:link w:val="a6"/>
    <w:uiPriority w:val="99"/>
    <w:semiHidden/>
    <w:unhideWhenUsed/>
    <w:rsid w:val="00D11CE5"/>
    <w:pPr>
      <w:tabs>
        <w:tab w:val="center" w:pos="4677"/>
        <w:tab w:val="right" w:pos="9355"/>
      </w:tabs>
    </w:pPr>
  </w:style>
  <w:style w:type="character" w:customStyle="1" w:styleId="a6">
    <w:name w:val="Верхний колонтитул Знак"/>
    <w:basedOn w:val="a0"/>
    <w:link w:val="a5"/>
    <w:uiPriority w:val="99"/>
    <w:semiHidden/>
    <w:rsid w:val="00D11CE5"/>
    <w:rPr>
      <w:rFonts w:ascii="Times New Roman" w:eastAsia="Times New Roman" w:hAnsi="Times New Roman" w:cs="Times New Roman"/>
      <w:sz w:val="24"/>
      <w:szCs w:val="24"/>
      <w:lang w:val="uk-UA" w:eastAsia="uk-UA"/>
    </w:rPr>
  </w:style>
  <w:style w:type="paragraph" w:styleId="a7">
    <w:name w:val="footer"/>
    <w:basedOn w:val="a"/>
    <w:link w:val="a8"/>
    <w:uiPriority w:val="99"/>
    <w:semiHidden/>
    <w:unhideWhenUsed/>
    <w:rsid w:val="00D11CE5"/>
    <w:pPr>
      <w:tabs>
        <w:tab w:val="center" w:pos="4677"/>
        <w:tab w:val="right" w:pos="9355"/>
      </w:tabs>
    </w:pPr>
  </w:style>
  <w:style w:type="character" w:customStyle="1" w:styleId="a8">
    <w:name w:val="Нижний колонтитул Знак"/>
    <w:basedOn w:val="a0"/>
    <w:link w:val="a7"/>
    <w:uiPriority w:val="99"/>
    <w:semiHidden/>
    <w:rsid w:val="00D11CE5"/>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2405</Characters>
  <Application>Microsoft Office Word</Application>
  <DocSecurity>0</DocSecurity>
  <Lines>20</Lines>
  <Paragraphs>5</Paragraphs>
  <ScaleCrop>false</ScaleCrop>
  <Company>ПАО "Сумыхмпром"</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t.n.brizhik</dc:creator>
  <cp:lastModifiedBy>t.n.brizhik</cp:lastModifiedBy>
  <cp:revision>3</cp:revision>
  <dcterms:created xsi:type="dcterms:W3CDTF">2025-04-01T12:10:00Z</dcterms:created>
  <dcterms:modified xsi:type="dcterms:W3CDTF">2025-04-01T12:16:00Z</dcterms:modified>
</cp:coreProperties>
</file>